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Aiden Mathew Howard (Channel ID: @aidensol_),</w:t>
      </w:r>
      <w:r>
        <w:rPr>
          <w:highlight w:val="yellow"/>
        </w:rPr>
        <w:t>, an individual (“</w:t>
      </w:r>
      <w:r>
        <w:rPr>
          <w:b/>
          <w:i/>
          <w:highlight w:val="yellow"/>
        </w:rPr>
        <w:t>Talent</w:t>
      </w:r>
      <w:r>
        <w:rPr>
          <w:highlight w:val="yellow"/>
        </w:rPr>
        <w:t>”), UID# 060129610</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three (3)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D80EADB" w14:textId="7662DE38" w:rsidR="004578D1" w:rsidRPr="004578D1" w:rsidRDefault="004578D1" w:rsidP="00213C73">
      <w:pPr>
        <w:numPr>
          <w:ilvl w:val="2"/>
          <w:numId w:val="5"/>
        </w:numPr>
      </w:pPr>
      <w:r w:rsidRPr="004578D1">
        <w:t>One-time payment of 1,000 USDT (“Initial Fee”) during the Term;</w:t>
      </w:r>
      <w:r>
        <w:rPr>
          <w:highlight w:val="yellow"/>
        </w:rPr>
      </w:r>
      <w:r w:rsidRPr="004578D1"/>
      <w:r w:rsidRPr="004578D1">
        <w:rPr>
          <w:b/>
          <w:bCs/>
          <w:i/>
          <w:iCs/>
        </w:rPr>
      </w:r>
      <w:r w:rsidRPr="004578D1"/>
      <w:r w:rsidR="008A1C39"/>
      <w:r w:rsidRPr="004578D1"/>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1,000 USDT per month (“Fee”) during the Term;</w:t>
      </w:r>
      <w:r/>
      <w:r>
        <w:rPr>
          <w:b/>
          <w:i/>
        </w:rPr>
      </w:r>
      <w:r/>
      <w:r w:rsidR="00316FBD"/>
      <w:r w:rsidR="001F56B8"/>
      <w:r/>
    </w:p>
    <w:p w14:paraId="6CC74158" w14:textId="77777777" w:rsidR="009B4018" w:rsidRDefault="009B4018" w:rsidP="00BB7295">
      <w:pPr>
        <w:ind w:left="2160"/>
      </w:pPr>
    </w:p>
    <w:p w14:paraId="012100FC" w14:textId="6106577C" w:rsidR="00BF0D95" w:rsidRPr="00BB7295" w:rsidRDefault="00BF0D95" w:rsidP="00BB7295">
      <w:pPr>
        <w:numPr>
          <w:ilvl w:val="2"/>
          <w:numId w:val="5"/>
        </w:numPr>
        <w:rPr>
          <w:highlight w:val="yellow"/>
          <w:lang w:val="en-US"/>
        </w:rPr>
      </w:pPr>
      <w:r w:rsidRPr="00BB7295">
        <w:rPr>
          <w:rStyle w:val="None"/>
          <w:highlight w:val="yellow"/>
          <w:lang w:val="en-US"/>
        </w:rPr>
        <w:t xml:space="preserve">Bonus payments based on the trading volume generated monthly in all of the Talent’s own self-custody wallets as calculated at the end of each month (“Trading Volume”) shall be paid to the Talent during the Term (“Talent Trading Bonus”). Upon reaching at least 1,000,000 USDT in Trading Volume, the Talent shall receive a Talent Trading Bonus of 1,000 USDT. For each additional 1,000,000 USDT in Trading Volume achieved thereafter, the Talent shall receive a Talent Trading Bonus of 1,000 USDT, up to a maximum of 9,000 USDT during the Term. </w:t>
      </w:r>
      <w:proofErr w:type="gramStart"/>
      <w:r w:rsidRPr="00BB7295">
        <w:rPr>
          <w:rStyle w:val="None"/>
          <w:highlight w:val="yellow"/>
          <w:lang w:val="en-US"/>
        </w:rPr>
      </w:r>
      <w:proofErr w:type="gramEnd"/>
      <w:r w:rsidRPr="00BB7295">
        <w:rPr>
          <w:rStyle w:val="None"/>
          <w:highlight w:val="yellow"/>
          <w:lang w:val="en-US"/>
        </w:rPr>
      </w:r>
      <w:r w:rsidRPr="00BB7295">
        <w:rPr>
          <w:rStyle w:val="None"/>
          <w:highlight w:val="yellow"/>
          <w:rtl/>
        </w:rPr>
      </w:r>
      <w:r w:rsidRPr="00BB7295">
        <w:rPr>
          <w:rStyle w:val="None"/>
          <w:highlight w:val="yellow"/>
          <w:lang w:val="en-US"/>
        </w:rPr>
      </w:r>
      <w:r w:rsidR="009B4018">
        <w:rPr>
          <w:rStyle w:val="None"/>
          <w:highlight w:val="yellow"/>
          <w:lang w:val="en-US"/>
        </w:rPr>
      </w:r>
      <w:r w:rsidRPr="00BB7295">
        <w:rPr>
          <w:rStyle w:val="None"/>
          <w:highlight w:val="yellow"/>
          <w:lang w:val="en-US"/>
        </w:rPr>
      </w:r>
      <w:r w:rsidRPr="00BB7295">
        <w:rPr>
          <w:rStyle w:val="None"/>
          <w:b/>
          <w:i/>
          <w:highlight w:val="yellow"/>
          <w:lang w:val="en-US"/>
        </w:rPr>
      </w:r>
      <w:r w:rsidRPr="00BB7295">
        <w:rPr>
          <w:rStyle w:val="None"/>
          <w:highlight w:val="yellow"/>
          <w:lang w:val="en-US"/>
        </w:rPr>
      </w:r>
      <w:r w:rsidR="001F56B8">
        <w:rPr>
          <w:rStyle w:val="None"/>
          <w:highlight w:val="yellow"/>
          <w:lang w:val="en-US"/>
        </w:rPr>
      </w:r>
      <w:r w:rsidR="00142905">
        <w:rPr>
          <w:rStyle w:val="None"/>
          <w:highlight w:val="yellow"/>
          <w:lang w:val="en-US"/>
        </w:rPr>
      </w:r>
      <w:r w:rsidR="00142905" w:rsidRPr="00213C73">
        <w:rPr>
          <w:rStyle w:val="None"/>
          <w:b/>
          <w:bCs/>
          <w:i/>
          <w:iCs/>
          <w:highlight w:val="yellow"/>
          <w:lang w:val="en-US"/>
        </w:rPr>
      </w:r>
      <w:r w:rsidR="00142905">
        <w:rPr>
          <w:rStyle w:val="None"/>
          <w:highlight w:val="yellow"/>
          <w:lang w:val="en-US"/>
        </w:rPr>
      </w:r>
      <w:r w:rsidR="00F241EF">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Pr="00BB7295">
        <w:rPr>
          <w:rStyle w:val="None"/>
          <w:highlight w:val="yellow"/>
        </w:rPr>
      </w:r>
      <w:r w:rsidRPr="00BB7295">
        <w:rPr>
          <w:rStyle w:val="None"/>
          <w:highlight w:val="yellow"/>
          <w:lang w:val="en-US"/>
        </w:rPr>
      </w:r>
    </w:p>
    <w:p w14:paraId="6A2F6244" w14:textId="77777777" w:rsidR="00BF0D95" w:rsidRPr="00BB7295" w:rsidRDefault="00BF0D95" w:rsidP="00BF0D95">
      <w:pPr>
        <w:pStyle w:val="Body"/>
        <w:rPr>
          <w:rFonts w:cs="Times New Roman"/>
          <w:highlight w:val="yellow"/>
        </w:rPr>
      </w:pPr>
    </w:p>
    <w:tbl>
      <w:tblPr>
        <w:tblW w:w="4797" w:type="dxa"/>
        <w:tblInd w:w="2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1950"/>
      </w:tblGrid>
      <w:tr w:rsidR="00BF0D95" w:rsidRPr="00BF0D95" w14:paraId="19C424A9" w14:textId="77777777" w:rsidTr="00BB7295">
        <w:trPr>
          <w:trHeight w:val="560"/>
        </w:trPr>
        <w:tc>
          <w:tcPr>
            <w:tcW w:w="2847" w:type="dxa"/>
            <w:tcBorders>
              <w:top w:val="single" w:sz="6" w:space="0" w:color="000000"/>
              <w:left w:val="single" w:sz="6" w:space="0" w:color="000000"/>
              <w:bottom w:val="single" w:sz="4" w:space="0" w:color="auto"/>
              <w:right w:val="single" w:sz="6" w:space="0" w:color="CCCCCC"/>
            </w:tcBorders>
            <w:shd w:val="clear" w:color="auto" w:fill="D9D9D9"/>
            <w:tcMar>
              <w:top w:w="80" w:type="dxa"/>
              <w:left w:w="80" w:type="dxa"/>
              <w:bottom w:w="80" w:type="dxa"/>
              <w:right w:w="80" w:type="dxa"/>
            </w:tcMar>
            <w:vAlign w:val="bottom"/>
          </w:tcPr>
          <w:p w14:paraId="36D9B6AD" w14:textId="77777777" w:rsidR="00BF0D95" w:rsidRPr="00BB7295" w:rsidRDefault="00BF0D95" w:rsidP="002F35E4">
            <w:pPr>
              <w:pStyle w:val="Body"/>
              <w:jc w:val="center"/>
              <w:rPr>
                <w:rStyle w:val="None"/>
                <w:rFonts w:cs="Times New Roman"/>
                <w:b/>
                <w:color w:val="1F2329"/>
                <w:highlight w:val="yellow"/>
                <w:u w:color="1F2329"/>
              </w:rPr>
            </w:pPr>
            <w:r w:rsidRPr="00BB7295">
              <w:rPr>
                <w:rStyle w:val="None"/>
                <w:rFonts w:cs="Times New Roman"/>
                <w:b/>
                <w:color w:val="1F2329"/>
                <w:highlight w:val="yellow"/>
                <w:u w:color="1F2329"/>
                <w:lang w:val="en-US"/>
              </w:rPr>
              <w:t xml:space="preserve">Trading Volume </w:t>
            </w:r>
            <w:proofErr w:type="spellStart"/>
            <w:r w:rsidRPr="00BB7295">
              <w:rPr>
                <w:rStyle w:val="None"/>
                <w:rFonts w:cs="Times New Roman"/>
                <w:b/>
                <w:color w:val="1F2329"/>
                <w:highlight w:val="yellow"/>
                <w:u w:color="1F2329"/>
                <w:lang w:val="en-US"/>
              </w:rPr>
              <w:t>Volume</w:t>
            </w:r>
            <w:proofErr w:type="spellEnd"/>
          </w:p>
          <w:p w14:paraId="5941E655" w14:textId="77777777" w:rsidR="00BF0D95" w:rsidRPr="00BB7295" w:rsidRDefault="00BF0D95" w:rsidP="002F35E4">
            <w:pPr>
              <w:pStyle w:val="Body"/>
              <w:jc w:val="center"/>
              <w:rPr>
                <w:rFonts w:cs="Times New Roman"/>
                <w:highlight w:val="yellow"/>
              </w:rPr>
            </w:pPr>
            <w:r w:rsidRPr="00BB7295">
              <w:rPr>
                <w:rStyle w:val="None"/>
                <w:rFonts w:cs="Times New Roman"/>
                <w:b/>
                <w:color w:val="1F2329"/>
                <w:highlight w:val="yellow"/>
                <w:u w:color="1F2329"/>
                <w:lang w:val="en-US"/>
              </w:rPr>
              <w:t>(USDT)</w:t>
            </w:r>
          </w:p>
        </w:tc>
        <w:tc>
          <w:tcPr>
            <w:tcW w:w="1950" w:type="dxa"/>
            <w:tcBorders>
              <w:top w:val="single" w:sz="6" w:space="0" w:color="000000"/>
              <w:left w:val="single" w:sz="6" w:space="0" w:color="CCCCCC"/>
              <w:bottom w:val="single" w:sz="4" w:space="0" w:color="auto"/>
              <w:right w:val="single" w:sz="6" w:space="0" w:color="000000"/>
            </w:tcBorders>
            <w:shd w:val="clear" w:color="auto" w:fill="D9D9D9"/>
            <w:tcMar>
              <w:top w:w="80" w:type="dxa"/>
              <w:left w:w="80" w:type="dxa"/>
              <w:bottom w:w="80" w:type="dxa"/>
              <w:right w:w="80" w:type="dxa"/>
            </w:tcMar>
            <w:vAlign w:val="bottom"/>
          </w:tcPr>
          <w:p w14:paraId="502E42C3" w14:textId="5AC357B7" w:rsidR="00BF0D95" w:rsidRPr="00BB7295" w:rsidRDefault="00BF0D95" w:rsidP="002F35E4">
            <w:pPr>
              <w:pStyle w:val="Body"/>
              <w:jc w:val="center"/>
              <w:rPr>
                <w:rFonts w:cs="Times New Roman"/>
                <w:highlight w:val="yellow"/>
              </w:rPr>
            </w:pPr>
            <w:r w:rsidRPr="00BB7295">
              <w:rPr>
                <w:rStyle w:val="None"/>
                <w:rFonts w:cs="Times New Roman"/>
                <w:b/>
                <w:highlight w:val="yellow"/>
                <w:lang w:val="en-US"/>
              </w:rPr>
              <w:t xml:space="preserve"> </w:t>
            </w:r>
            <w:r w:rsidR="00142905">
              <w:rPr>
                <w:rStyle w:val="None"/>
                <w:rFonts w:cs="Times New Roman"/>
                <w:b/>
                <w:highlight w:val="yellow"/>
                <w:lang w:val="en-US"/>
              </w:rPr>
              <w:t>Talent Trading Bonus</w:t>
            </w:r>
          </w:p>
        </w:tc>
      </w:tr>
      <w:tr w:rsidR="00BF0D95" w:rsidRPr="00BF0D95" w14:paraId="3BB7ABE2" w14:textId="77777777" w:rsidTr="00BB7295">
        <w:trPr>
          <w:trHeight w:val="246"/>
        </w:trPr>
        <w:tc>
          <w:tcPr>
            <w:tcW w:w="2847" w:type="dxa"/>
            <w:tcBorders>
              <w:top w:val="single" w:sz="4" w:space="0" w:color="auto"/>
              <w:left w:val="single" w:sz="6" w:space="0" w:color="000000"/>
              <w:bottom w:val="single" w:sz="6" w:space="0" w:color="CCCCCC"/>
              <w:right w:val="single" w:sz="6" w:space="0" w:color="CCCCCC"/>
            </w:tcBorders>
            <w:tcMar>
              <w:top w:w="80" w:type="dxa"/>
              <w:left w:w="80" w:type="dxa"/>
              <w:bottom w:w="80" w:type="dxa"/>
              <w:right w:w="80" w:type="dxa"/>
            </w:tcMar>
            <w:vAlign w:val="bottom"/>
          </w:tcPr>
          <w:p w14:paraId="14BF1780" w14:textId="77777777" w:rsidR="00BF0D95" w:rsidRPr="00BB7295" w:rsidRDefault="00BF0D95" w:rsidP="002F35E4">
            <w:pPr>
              <w:pStyle w:val="Body"/>
              <w:jc w:val="center"/>
              <w:rPr>
                <w:rFonts w:cs="Times New Roman"/>
                <w:highlight w:val="yellow"/>
              </w:rPr>
            </w:pPr>
            <w:r w:rsidRPr="00BB7295">
              <w:rPr>
                <w:rStyle w:val="None"/>
                <w:rFonts w:cs="Times New Roman" w:hint="eastAsia"/>
                <w:highlight w:val="yellow"/>
                <w:lang w:val="en-US"/>
              </w:rPr>
              <w:t>≥</w:t>
            </w:r>
            <w:r w:rsidRPr="00BB7295">
              <w:rPr>
                <w:rStyle w:val="None"/>
                <w:rFonts w:cs="Times New Roman"/>
                <w:color w:val="1F2329"/>
                <w:highlight w:val="yellow"/>
                <w:u w:color="1F2329"/>
                <w:lang w:val="en-US"/>
              </w:rPr>
              <w:t>1,000,000+</w:t>
            </w:r>
          </w:p>
        </w:tc>
        <w:tc>
          <w:tcPr>
            <w:tcW w:w="1950" w:type="dxa"/>
            <w:tcBorders>
              <w:top w:val="single" w:sz="4" w:space="0" w:color="auto"/>
              <w:left w:val="single" w:sz="6" w:space="0" w:color="CCCCCC"/>
              <w:bottom w:val="single" w:sz="6" w:space="0" w:color="CCCCCC"/>
              <w:right w:val="single" w:sz="6" w:space="0" w:color="000000"/>
            </w:tcBorders>
            <w:tcMar>
              <w:top w:w="80" w:type="dxa"/>
              <w:left w:w="80" w:type="dxa"/>
              <w:bottom w:w="80" w:type="dxa"/>
              <w:right w:w="80" w:type="dxa"/>
            </w:tcMar>
            <w:vAlign w:val="bottom"/>
          </w:tcPr>
          <w:p w14:paraId="01F55482"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1,000</w:t>
            </w:r>
          </w:p>
        </w:tc>
      </w:tr>
      <w:tr w:rsidR="00BF0D95" w:rsidRPr="00AD2F2A" w14:paraId="160E4EF7" w14:textId="77777777" w:rsidTr="00BB7295">
        <w:trPr>
          <w:trHeight w:val="196"/>
        </w:trPr>
        <w:tc>
          <w:tcPr>
            <w:tcW w:w="2847" w:type="dxa"/>
            <w:tcBorders>
              <w:top w:val="single" w:sz="6" w:space="0" w:color="CCCCCC"/>
              <w:left w:val="single" w:sz="6" w:space="0" w:color="000000"/>
              <w:bottom w:val="single" w:sz="6" w:space="0" w:color="000000"/>
              <w:right w:val="single" w:sz="6" w:space="0" w:color="CCCCCC"/>
            </w:tcBorders>
            <w:tcMar>
              <w:top w:w="80" w:type="dxa"/>
              <w:left w:w="80" w:type="dxa"/>
              <w:bottom w:w="80" w:type="dxa"/>
              <w:right w:w="80" w:type="dxa"/>
            </w:tcMar>
            <w:vAlign w:val="bottom"/>
          </w:tcPr>
          <w:p w14:paraId="1049E0D6"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For every 1,000,000 thereafter</w:t>
            </w:r>
          </w:p>
        </w:tc>
        <w:tc>
          <w:tcPr>
            <w:tcW w:w="1950" w:type="dxa"/>
            <w:tcBorders>
              <w:top w:val="single" w:sz="6" w:space="0" w:color="CCCCCC"/>
              <w:left w:val="single" w:sz="6" w:space="0" w:color="CCCCCC"/>
              <w:bottom w:val="single" w:sz="6" w:space="0" w:color="000000"/>
              <w:right w:val="single" w:sz="6" w:space="0" w:color="000000"/>
            </w:tcBorders>
            <w:tcMar>
              <w:top w:w="80" w:type="dxa"/>
              <w:left w:w="80" w:type="dxa"/>
              <w:bottom w:w="80" w:type="dxa"/>
              <w:right w:w="80" w:type="dxa"/>
            </w:tcMar>
            <w:vAlign w:val="bottom"/>
          </w:tcPr>
          <w:p w14:paraId="7D433327" w14:textId="77777777" w:rsidR="00BF0D95" w:rsidRPr="00AD2F2A" w:rsidRDefault="00BF0D95" w:rsidP="002F35E4">
            <w:pPr>
              <w:pStyle w:val="Body"/>
              <w:jc w:val="center"/>
              <w:rPr>
                <w:rFonts w:cs="Times New Roman"/>
              </w:rPr>
            </w:pPr>
            <w:r w:rsidRPr="00BB7295">
              <w:rPr>
                <w:rStyle w:val="None"/>
                <w:rFonts w:cs="Times New Roman"/>
                <w:highlight w:val="yellow"/>
                <w:lang w:val="en-US"/>
              </w:rPr>
              <w:t>1,000</w:t>
            </w:r>
          </w:p>
        </w:tc>
      </w:tr>
    </w:tbl>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Aiden Mathew Howard </w:t>
            </w:r>
          </w:p>
          <w:p w14:paraId="2A1F057D" w14:textId="77777777" w:rsidR="00B552ED" w:rsidRDefault="00000000">
            <w:pPr>
              <w:ind w:right="-7"/>
              <w:jc w:val="both"/>
            </w:pPr>
            <w:r>
              <w:t xml:space="preserve">Full Address: 13800 highland drive miami florida 33181 </w:t>
            </w:r>
          </w:p>
          <w:p w14:paraId="0322564C" w14:textId="77777777" w:rsidR="00B552ED" w:rsidRDefault="00B552ED">
            <w:pPr>
              <w:ind w:right="-7"/>
              <w:jc w:val="both"/>
            </w:pPr>
          </w:p>
          <w:p w14:paraId="57554978" w14:textId="77777777" w:rsidR="00B552ED" w:rsidRDefault="00000000">
            <w:pPr>
              <w:ind w:right="-7"/>
              <w:jc w:val="both"/>
              <w:rPr>
                <w:b/>
              </w:rPr>
            </w:pPr>
            <w:r>
              <w:t>Email: jen.stein@okg.com</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Aiden Mathew Howard</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