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samuel siqueira rios (Channel ID: @lilcalfmuscle),</w:t>
      </w:r>
      <w:r>
        <w:rPr>
          <w:highlight w:val="yellow"/>
        </w:rPr>
        <w:t>, an individual (“</w:t>
      </w:r>
      <w:r>
        <w:rPr>
          <w:b/>
          <w:i/>
          <w:highlight w:val="yellow"/>
        </w:rPr>
        <w:t>Talent</w:t>
      </w:r>
      <w:r>
        <w:rPr>
          <w:highlight w:val="yellow"/>
        </w:rPr>
        <w:t>”), UID# 08834478436</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three (3)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D80EADB" w14:textId="7662DE38" w:rsidR="004578D1" w:rsidRPr="004578D1" w:rsidRDefault="004578D1" w:rsidP="00213C73">
      <w:pPr>
        <w:numPr>
          <w:ilvl w:val="2"/>
          <w:numId w:val="5"/>
        </w:numPr>
      </w:pPr>
      <w:r w:rsidRPr="004578D1">
        <w:t>One-time payment of 1,000 USDT (“Initial Fee”) during the Term;</w:t>
      </w:r>
      <w:r>
        <w:rPr>
          <w:highlight w:val="yellow"/>
        </w:rPr>
      </w:r>
      <w:r w:rsidRPr="004578D1"/>
      <w:r w:rsidRPr="004578D1">
        <w:rPr>
          <w:b/>
          <w:bCs/>
          <w:i/>
          <w:iCs/>
        </w:rPr>
      </w:r>
      <w:r w:rsidRPr="004578D1"/>
      <w:r w:rsidR="008A1C39"/>
      <w:r w:rsidRPr="004578D1"/>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2,000 USDT per month (“Fee”) during the Term;</w:t>
      </w:r>
      <w:r/>
      <w:r>
        <w:rPr>
          <w:b/>
          <w:i/>
        </w:rPr>
      </w:r>
      <w:r/>
      <w:r w:rsidR="00316FBD"/>
      <w:r w:rsidR="001F56B8"/>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all of the Talent’s own self-custody wallets as calculated at the end of each month (“Trading Volume”) shall be paid to the Talent during the Term (“Talent Trading Bonus”). Upon reaching at least 2,500,000 USDT in Trading Volume, the Talent shall receive a Talent Trading Bonus of 500 USDT. For each additional 500,000 USDT in Trading Volume achieved thereafter, the Talent shall receive a Talent Trading Bonus of 500 USDT, up to a maximum of 8,000 USDT during the Term. </w:t>
      </w:r>
      <w:proofErr w:type="gramStart"/>
      <w:r w:rsidRPr="00BB7295">
        <w:rPr>
          <w:rStyle w:val="None"/>
          <w:highlight w:val="yellow"/>
          <w:lang w:val="en-US"/>
        </w:rPr>
      </w:r>
      <w:proofErr w:type="gramEnd"/>
      <w:r w:rsidRPr="00BB7295">
        <w:rPr>
          <w:rStyle w:val="None"/>
          <w:highlight w:val="yellow"/>
          <w:lang w:val="en-US"/>
        </w:rPr>
      </w:r>
      <w:r w:rsidRPr="00BB7295">
        <w:rPr>
          <w:rStyle w:val="None"/>
          <w:highlight w:val="yellow"/>
          <w:rtl/>
        </w:rPr>
      </w:r>
      <w:r w:rsidRPr="00BB7295">
        <w:rPr>
          <w:rStyle w:val="None"/>
          <w:highlight w:val="yellow"/>
          <w:lang w:val="en-US"/>
        </w:rPr>
      </w:r>
      <w:r w:rsidR="009B4018">
        <w:rPr>
          <w:rStyle w:val="None"/>
          <w:highlight w:val="yellow"/>
          <w:lang w:val="en-US"/>
        </w:rPr>
      </w:r>
      <w:r w:rsidRPr="00BB7295">
        <w:rPr>
          <w:rStyle w:val="None"/>
          <w:highlight w:val="yellow"/>
          <w:lang w:val="en-US"/>
        </w:rPr>
      </w:r>
      <w:r w:rsidRPr="00BB7295">
        <w:rPr>
          <w:rStyle w:val="None"/>
          <w:b/>
          <w:i/>
          <w:highlight w:val="yellow"/>
          <w:lang w:val="en-US"/>
        </w:rPr>
      </w:r>
      <w:r w:rsidRPr="00BB7295">
        <w:rPr>
          <w:rStyle w:val="None"/>
          <w:highlight w:val="yellow"/>
          <w:lang w:val="en-US"/>
        </w:rPr>
      </w:r>
      <w:r w:rsidR="001F56B8">
        <w:rPr>
          <w:rStyle w:val="None"/>
          <w:highlight w:val="yellow"/>
          <w:lang w:val="en-US"/>
        </w:rPr>
      </w:r>
      <w:r w:rsidR="00142905">
        <w:rPr>
          <w:rStyle w:val="None"/>
          <w:highlight w:val="yellow"/>
          <w:lang w:val="en-US"/>
        </w:rPr>
      </w:r>
      <w:r w:rsidR="00142905" w:rsidRPr="00213C73">
        <w:rPr>
          <w:rStyle w:val="None"/>
          <w:b/>
          <w:bCs/>
          <w:i/>
          <w:iCs/>
          <w:highlight w:val="yellow"/>
          <w:lang w:val="en-US"/>
        </w:rPr>
      </w:r>
      <w:r w:rsidR="00142905">
        <w:rPr>
          <w:rStyle w:val="None"/>
          <w:highlight w:val="yellow"/>
          <w:lang w:val="en-US"/>
        </w:rPr>
      </w:r>
      <w:r w:rsidR="00F241EF">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Pr="00BB7295">
        <w:rPr>
          <w:rStyle w:val="None"/>
          <w:highlight w:val="yellow"/>
        </w:rPr>
      </w:r>
      <w:r w:rsidRPr="00BB7295">
        <w:rPr>
          <w:rStyle w:val="None"/>
          <w:highlight w:val="yellow"/>
          <w:lang w:val="en-US"/>
        </w:rPr>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2,500,000+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500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500,000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500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samuel siqueira rios </w:t>
            </w:r>
          </w:p>
          <w:p w14:paraId="2A1F057D" w14:textId="77777777" w:rsidR="00B552ED" w:rsidRDefault="00000000">
            <w:pPr>
              <w:ind w:right="-7"/>
              <w:jc w:val="both"/>
            </w:pPr>
            <w:r>
              <w:t xml:space="preserve">Full Address: sqn 211 bloco j brasilia, brazil </w:t>
            </w:r>
          </w:p>
          <w:p w14:paraId="0322564C" w14:textId="77777777" w:rsidR="00B552ED" w:rsidRDefault="00B552ED">
            <w:pPr>
              <w:ind w:right="-7"/>
              <w:jc w:val="both"/>
            </w:pPr>
          </w:p>
          <w:p w14:paraId="57554978" w14:textId="77777777" w:rsidR="00B552ED" w:rsidRDefault="00000000">
            <w:pPr>
              <w:ind w:right="-7"/>
              <w:jc w:val="both"/>
              <w:rPr>
                <w:b/>
              </w:rPr>
            </w:pPr>
            <w:r>
              <w:t>Email: loongl855@gmail.com</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samuel siqueira rios</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