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_______________________(Channel ID:               )</w:t>
      </w:r>
      <w:r>
        <w:rPr>
          <w:highlight w:val="yellow"/>
        </w:rPr>
        <w:t>, an individual (“</w:t>
      </w:r>
      <w:r>
        <w:rPr>
          <w:b/>
          <w:i/>
          <w:highlight w:val="yellow"/>
        </w:rPr>
        <w:t>Talent</w:t>
      </w:r>
      <w:r>
        <w:rPr>
          <w:highlight w:val="yellow"/>
        </w:rPr>
        <w:t>”), UID# _____________________</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w:t>
      </w:r>
      <w:r>
        <w:t xml:space="preserve">.     </w:t>
      </w:r>
      <w:r w:rsidR="00213C73">
        <w:rPr>
          <w:rFonts w:cs="Times New Roman"/>
          <w:lang w:val="en-US"/>
        </w:rPr>
        <w:t xml:space="preserve">This Agreement shall commence on the Effective Date and shall continue for a period of one (1) consecutive calendar </w:t>
      </w:r>
      <w:proofErr w:type="gramStart"/>
      <w:r w:rsidR="00213C73">
        <w:rPr>
          <w:rFonts w:cs="Times New Roman"/>
          <w:lang w:val="en-US"/>
        </w:rPr>
        <w:t>months, and</w:t>
      </w:r>
      <w:proofErr w:type="gramEnd"/>
      <w:r w:rsidR="00213C73">
        <w:rPr>
          <w:rFonts w:cs="Times New Roman"/>
          <w:lang w:val="en-US"/>
        </w:rPr>
        <w:t xml:space="preserve"> will renew for two (2) months (such initial term and any renewal term, the </w:t>
      </w:r>
      <w:r w:rsidR="00213C73">
        <w:rPr>
          <w:rFonts w:cs="Times New Roman"/>
          <w:rtl/>
          <w:lang w:val="ar-SA"/>
        </w:rPr>
        <w:t>“</w:t>
      </w:r>
      <w:proofErr w:type="spellStart"/>
      <w:r w:rsidR="00213C73">
        <w:rPr>
          <w:rFonts w:cs="Times New Roman"/>
          <w:b/>
          <w:i/>
          <w:lang w:val="it-IT"/>
        </w:rPr>
        <w:t>Term</w:t>
      </w:r>
      <w:proofErr w:type="spellEnd"/>
      <w:r w:rsidR="00213C73">
        <w:rPr>
          <w:rFonts w:cs="Times New Roman"/>
        </w:rPr>
        <w:t>”)</w:t>
      </w:r>
      <w:r w:rsidR="00213C73">
        <w:rPr>
          <w:rFonts w:cs="Times New Roman"/>
          <w:lang w:val="en-US"/>
        </w:rPr>
        <w:t xml:space="preserve"> </w:t>
      </w:r>
      <w:r w:rsidR="00213C73">
        <w:t>A</w:t>
      </w:r>
      <w:r w:rsidR="008A1C39">
        <w:t>ny</w:t>
      </w:r>
      <w:r w:rsidR="00213C73">
        <w:t xml:space="preserve"> renewal beyond the Term shall require the mutual written confirmation of both Parties. Either Party may terminate this Agreement by providing at least seven (7) days written notice to the other Party.</w:t>
      </w:r>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D80EADB" w14:textId="7662DE38" w:rsidR="004578D1" w:rsidRPr="004578D1" w:rsidRDefault="004578D1" w:rsidP="00213C73">
      <w:pPr>
        <w:numPr>
          <w:ilvl w:val="2"/>
          <w:numId w:val="5"/>
        </w:numPr>
      </w:pPr>
      <w:r w:rsidRPr="004578D1">
        <w:t xml:space="preserve">One-time payment of </w:t>
      </w:r>
      <w:r>
        <w:rPr>
          <w:highlight w:val="yellow"/>
        </w:rPr>
        <w:t>[   ]</w:t>
      </w:r>
      <w:r w:rsidRPr="004578D1">
        <w:t xml:space="preserve"> USDT (“</w:t>
      </w:r>
      <w:r w:rsidRPr="004578D1">
        <w:rPr>
          <w:b/>
          <w:bCs/>
          <w:i/>
          <w:iCs/>
        </w:rPr>
        <w:t>Initial Fee</w:t>
      </w:r>
      <w:r w:rsidRPr="004578D1">
        <w:t>”)</w:t>
      </w:r>
      <w:r w:rsidR="008A1C39">
        <w:t xml:space="preserve"> during the Term</w:t>
      </w:r>
      <w:r w:rsidRPr="004578D1">
        <w:t>;</w:t>
      </w: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 xml:space="preserve">[   ] </w:t>
      </w:r>
      <w:r>
        <w:t>per month (“</w:t>
      </w:r>
      <w:r>
        <w:rPr>
          <w:b/>
          <w:i/>
        </w:rPr>
        <w:t>Fee</w:t>
      </w:r>
      <w:r>
        <w:t>”)</w:t>
      </w:r>
      <w:r w:rsidR="00316FBD">
        <w:t xml:space="preserve"> </w:t>
      </w:r>
      <w:r w:rsidR="001F56B8">
        <w:t>during the Term</w:t>
      </w:r>
      <w:r>
        <w:t>;</w:t>
      </w:r>
    </w:p>
    <w:p w14:paraId="6CC74158" w14:textId="77777777" w:rsidR="009B4018" w:rsidRDefault="009B4018" w:rsidP="00BB7295">
      <w:pPr>
        <w:ind w:left="2160"/>
      </w:pPr>
    </w:p>
    <w:p w14:paraId="012100FC" w14:textId="6106577C" w:rsidR="00BF0D95" w:rsidRPr="00BB7295" w:rsidRDefault="00BF0D95" w:rsidP="00BB7295">
      <w:pPr>
        <w:numPr>
          <w:ilvl w:val="2"/>
          <w:numId w:val="5"/>
        </w:numPr>
        <w:rPr>
          <w:highlight w:val="yellow"/>
          <w:lang w:val="en-US"/>
        </w:rPr>
      </w:pPr>
      <w:r w:rsidRPr="00BB7295">
        <w:rPr>
          <w:rStyle w:val="None"/>
          <w:highlight w:val="yellow"/>
          <w:lang w:val="en-US"/>
        </w:rPr>
        <w:t xml:space="preserve">Bonus payments based on the trading volume generated monthly in </w:t>
      </w:r>
      <w:proofErr w:type="gramStart"/>
      <w:r w:rsidRPr="00BB7295">
        <w:rPr>
          <w:rStyle w:val="None"/>
          <w:highlight w:val="yellow"/>
          <w:lang w:val="en-US"/>
        </w:rPr>
        <w:t>all of</w:t>
      </w:r>
      <w:proofErr w:type="gramEnd"/>
      <w:r w:rsidRPr="00BB7295">
        <w:rPr>
          <w:rStyle w:val="None"/>
          <w:highlight w:val="yellow"/>
          <w:lang w:val="en-US"/>
        </w:rPr>
        <w:t xml:space="preserve"> the Talent</w:t>
      </w:r>
      <w:r w:rsidRPr="00BB7295">
        <w:rPr>
          <w:rStyle w:val="None"/>
          <w:highlight w:val="yellow"/>
          <w:rtl/>
        </w:rPr>
        <w:t>’</w:t>
      </w:r>
      <w:r w:rsidRPr="00BB7295">
        <w:rPr>
          <w:rStyle w:val="None"/>
          <w:highlight w:val="yellow"/>
          <w:lang w:val="en-US"/>
        </w:rPr>
        <w:t xml:space="preserve">s </w:t>
      </w:r>
      <w:r w:rsidR="009B4018">
        <w:rPr>
          <w:rStyle w:val="None"/>
          <w:highlight w:val="yellow"/>
          <w:lang w:val="en-US"/>
        </w:rPr>
        <w:t xml:space="preserve">own </w:t>
      </w:r>
      <w:r w:rsidRPr="00BB7295">
        <w:rPr>
          <w:rStyle w:val="None"/>
          <w:highlight w:val="yellow"/>
          <w:lang w:val="en-US"/>
        </w:rPr>
        <w:t>self-custody wallets as calculated at the end of each month (“</w:t>
      </w:r>
      <w:r w:rsidRPr="00BB7295">
        <w:rPr>
          <w:rStyle w:val="None"/>
          <w:b/>
          <w:i/>
          <w:highlight w:val="yellow"/>
          <w:lang w:val="en-US"/>
        </w:rPr>
        <w:t>Trading Volume</w:t>
      </w:r>
      <w:r w:rsidRPr="00BB7295">
        <w:rPr>
          <w:rStyle w:val="None"/>
          <w:highlight w:val="yellow"/>
          <w:lang w:val="en-US"/>
        </w:rPr>
        <w:t>”) shall be paid to the Talent</w:t>
      </w:r>
      <w:r w:rsidR="001F56B8">
        <w:rPr>
          <w:rStyle w:val="None"/>
          <w:highlight w:val="yellow"/>
          <w:lang w:val="en-US"/>
        </w:rPr>
        <w:t xml:space="preserve"> during the Term</w:t>
      </w:r>
      <w:r w:rsidR="00142905">
        <w:rPr>
          <w:rStyle w:val="None"/>
          <w:highlight w:val="yellow"/>
          <w:lang w:val="en-US"/>
        </w:rPr>
        <w:t xml:space="preserve"> (“</w:t>
      </w:r>
      <w:r w:rsidR="00142905" w:rsidRPr="00213C73">
        <w:rPr>
          <w:rStyle w:val="None"/>
          <w:b/>
          <w:bCs/>
          <w:i/>
          <w:iCs/>
          <w:highlight w:val="yellow"/>
          <w:lang w:val="en-US"/>
        </w:rPr>
        <w:t>Talent Trading Bonus</w:t>
      </w:r>
      <w:r w:rsidR="00142905">
        <w:rPr>
          <w:rStyle w:val="None"/>
          <w:highlight w:val="yellow"/>
          <w:lang w:val="en-US"/>
        </w:rPr>
        <w:t>”)</w:t>
      </w:r>
      <w:r w:rsidR="00F241EF">
        <w:rPr>
          <w:rStyle w:val="None"/>
          <w:highlight w:val="yellow"/>
          <w:lang w:val="en-US"/>
        </w:rPr>
        <w:t xml:space="preserve">. </w:t>
      </w:r>
      <w:r w:rsidRPr="00BB7295">
        <w:rPr>
          <w:rStyle w:val="None"/>
          <w:highlight w:val="yellow"/>
          <w:lang w:val="en-US"/>
        </w:rPr>
        <w:t xml:space="preserve">Upon reaching at least 1,000,000 USDT in Trading Volume, the Talent shall receive a </w:t>
      </w:r>
      <w:r w:rsidR="00142905">
        <w:rPr>
          <w:rStyle w:val="None"/>
          <w:highlight w:val="yellow"/>
          <w:lang w:val="en-US"/>
        </w:rPr>
        <w:t>Talent Trading Bonus</w:t>
      </w:r>
      <w:r w:rsidRPr="00BB7295">
        <w:rPr>
          <w:rStyle w:val="None"/>
          <w:highlight w:val="yellow"/>
          <w:lang w:val="en-US"/>
        </w:rPr>
        <w:t xml:space="preserve"> of 1,000 USDT. For each additional 1,000,000 USDT in Trading Volume achieved thereafter, the Talent shall receive a </w:t>
      </w:r>
      <w:r w:rsidR="00142905">
        <w:rPr>
          <w:rStyle w:val="None"/>
          <w:highlight w:val="yellow"/>
          <w:lang w:val="en-US"/>
        </w:rPr>
        <w:t>Talent Trading Bonus</w:t>
      </w:r>
      <w:r w:rsidRPr="00BB7295">
        <w:rPr>
          <w:rStyle w:val="None"/>
          <w:highlight w:val="yellow"/>
          <w:lang w:val="en-US"/>
        </w:rPr>
        <w:t xml:space="preserve"> of 1,000 USDT, up to a maximum of </w:t>
      </w:r>
      <w:r w:rsidRPr="00BB7295">
        <w:rPr>
          <w:rStyle w:val="None"/>
          <w:highlight w:val="yellow"/>
        </w:rPr>
        <w:t>7,5</w:t>
      </w:r>
      <w:r w:rsidRPr="00BB7295">
        <w:rPr>
          <w:rStyle w:val="None"/>
          <w:highlight w:val="yellow"/>
          <w:lang w:val="en-US"/>
        </w:rPr>
        <w:t xml:space="preserve">00 USDT during the Term. </w:t>
      </w:r>
    </w:p>
    <w:p w14:paraId="6A2F6244" w14:textId="77777777" w:rsidR="00BF0D95" w:rsidRPr="00BB7295" w:rsidRDefault="00BF0D95" w:rsidP="00BF0D95">
      <w:pPr>
        <w:pStyle w:val="Body"/>
        <w:rPr>
          <w:rFonts w:cs="Times New Roman"/>
          <w:highlight w:val="yellow"/>
        </w:rPr>
      </w:pPr>
    </w:p>
    <w:tbl>
      <w:tblPr>
        <w:tblW w:w="4797" w:type="dxa"/>
        <w:tblInd w:w="22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47"/>
        <w:gridCol w:w="1950"/>
      </w:tblGrid>
      <w:tr w:rsidR="00BF0D95" w:rsidRPr="00BF0D95" w14:paraId="19C424A9" w14:textId="77777777" w:rsidTr="00BB7295">
        <w:trPr>
          <w:trHeight w:val="560"/>
        </w:trPr>
        <w:tc>
          <w:tcPr>
            <w:tcW w:w="2847" w:type="dxa"/>
            <w:tcBorders>
              <w:top w:val="single" w:sz="6" w:space="0" w:color="000000"/>
              <w:left w:val="single" w:sz="6" w:space="0" w:color="000000"/>
              <w:bottom w:val="single" w:sz="4" w:space="0" w:color="auto"/>
              <w:right w:val="single" w:sz="6" w:space="0" w:color="CCCCCC"/>
            </w:tcBorders>
            <w:shd w:val="clear" w:color="auto" w:fill="D9D9D9"/>
            <w:tcMar>
              <w:top w:w="80" w:type="dxa"/>
              <w:left w:w="80" w:type="dxa"/>
              <w:bottom w:w="80" w:type="dxa"/>
              <w:right w:w="80" w:type="dxa"/>
            </w:tcMar>
            <w:vAlign w:val="bottom"/>
          </w:tcPr>
          <w:p w14:paraId="36D9B6AD" w14:textId="77777777" w:rsidR="00BF0D95" w:rsidRPr="00BB7295" w:rsidRDefault="00BF0D95" w:rsidP="002F35E4">
            <w:pPr>
              <w:pStyle w:val="Body"/>
              <w:jc w:val="center"/>
              <w:rPr>
                <w:rStyle w:val="None"/>
                <w:rFonts w:cs="Times New Roman"/>
                <w:b/>
                <w:color w:val="1F2329"/>
                <w:highlight w:val="yellow"/>
                <w:u w:color="1F2329"/>
              </w:rPr>
            </w:pPr>
            <w:r w:rsidRPr="00BB7295">
              <w:rPr>
                <w:rStyle w:val="None"/>
                <w:rFonts w:cs="Times New Roman"/>
                <w:b/>
                <w:color w:val="1F2329"/>
                <w:highlight w:val="yellow"/>
                <w:u w:color="1F2329"/>
                <w:lang w:val="en-US"/>
              </w:rPr>
              <w:t xml:space="preserve">Trading Volume </w:t>
            </w:r>
            <w:proofErr w:type="spellStart"/>
            <w:r w:rsidRPr="00BB7295">
              <w:rPr>
                <w:rStyle w:val="None"/>
                <w:rFonts w:cs="Times New Roman"/>
                <w:b/>
                <w:color w:val="1F2329"/>
                <w:highlight w:val="yellow"/>
                <w:u w:color="1F2329"/>
                <w:lang w:val="en-US"/>
              </w:rPr>
              <w:t>Volume</w:t>
            </w:r>
            <w:proofErr w:type="spellEnd"/>
          </w:p>
          <w:p w14:paraId="5941E655" w14:textId="77777777" w:rsidR="00BF0D95" w:rsidRPr="00BB7295" w:rsidRDefault="00BF0D95" w:rsidP="002F35E4">
            <w:pPr>
              <w:pStyle w:val="Body"/>
              <w:jc w:val="center"/>
              <w:rPr>
                <w:rFonts w:cs="Times New Roman"/>
                <w:highlight w:val="yellow"/>
              </w:rPr>
            </w:pPr>
            <w:r w:rsidRPr="00BB7295">
              <w:rPr>
                <w:rStyle w:val="None"/>
                <w:rFonts w:cs="Times New Roman"/>
                <w:b/>
                <w:color w:val="1F2329"/>
                <w:highlight w:val="yellow"/>
                <w:u w:color="1F2329"/>
                <w:lang w:val="en-US"/>
              </w:rPr>
              <w:t>(USDT)</w:t>
            </w:r>
          </w:p>
        </w:tc>
        <w:tc>
          <w:tcPr>
            <w:tcW w:w="1950" w:type="dxa"/>
            <w:tcBorders>
              <w:top w:val="single" w:sz="6" w:space="0" w:color="000000"/>
              <w:left w:val="single" w:sz="6" w:space="0" w:color="CCCCCC"/>
              <w:bottom w:val="single" w:sz="4" w:space="0" w:color="auto"/>
              <w:right w:val="single" w:sz="6" w:space="0" w:color="000000"/>
            </w:tcBorders>
            <w:shd w:val="clear" w:color="auto" w:fill="D9D9D9"/>
            <w:tcMar>
              <w:top w:w="80" w:type="dxa"/>
              <w:left w:w="80" w:type="dxa"/>
              <w:bottom w:w="80" w:type="dxa"/>
              <w:right w:w="80" w:type="dxa"/>
            </w:tcMar>
            <w:vAlign w:val="bottom"/>
          </w:tcPr>
          <w:p w14:paraId="502E42C3" w14:textId="5AC357B7" w:rsidR="00BF0D95" w:rsidRPr="00BB7295" w:rsidRDefault="00BF0D95" w:rsidP="002F35E4">
            <w:pPr>
              <w:pStyle w:val="Body"/>
              <w:jc w:val="center"/>
              <w:rPr>
                <w:rFonts w:cs="Times New Roman"/>
                <w:highlight w:val="yellow"/>
              </w:rPr>
            </w:pPr>
            <w:r w:rsidRPr="00BB7295">
              <w:rPr>
                <w:rStyle w:val="None"/>
                <w:rFonts w:cs="Times New Roman"/>
                <w:b/>
                <w:highlight w:val="yellow"/>
                <w:lang w:val="en-US"/>
              </w:rPr>
              <w:t xml:space="preserve"> </w:t>
            </w:r>
            <w:r w:rsidR="00142905">
              <w:rPr>
                <w:rStyle w:val="None"/>
                <w:rFonts w:cs="Times New Roman"/>
                <w:b/>
                <w:highlight w:val="yellow"/>
                <w:lang w:val="en-US"/>
              </w:rPr>
              <w:t>Talent Trading Bonus</w:t>
            </w:r>
          </w:p>
        </w:tc>
      </w:tr>
      <w:tr w:rsidR="00BF0D95" w:rsidRPr="00BF0D95" w14:paraId="3BB7ABE2" w14:textId="77777777" w:rsidTr="00BB7295">
        <w:trPr>
          <w:trHeight w:val="246"/>
        </w:trPr>
        <w:tc>
          <w:tcPr>
            <w:tcW w:w="2847" w:type="dxa"/>
            <w:tcBorders>
              <w:top w:val="single" w:sz="4" w:space="0" w:color="auto"/>
              <w:left w:val="single" w:sz="6" w:space="0" w:color="000000"/>
              <w:bottom w:val="single" w:sz="6" w:space="0" w:color="CCCCCC"/>
              <w:right w:val="single" w:sz="6" w:space="0" w:color="CCCCCC"/>
            </w:tcBorders>
            <w:tcMar>
              <w:top w:w="80" w:type="dxa"/>
              <w:left w:w="80" w:type="dxa"/>
              <w:bottom w:w="80" w:type="dxa"/>
              <w:right w:w="80" w:type="dxa"/>
            </w:tcMar>
            <w:vAlign w:val="bottom"/>
          </w:tcPr>
          <w:p w14:paraId="14BF1780" w14:textId="77777777" w:rsidR="00BF0D95" w:rsidRPr="00BB7295" w:rsidRDefault="00BF0D95" w:rsidP="002F35E4">
            <w:pPr>
              <w:pStyle w:val="Body"/>
              <w:jc w:val="center"/>
              <w:rPr>
                <w:rFonts w:cs="Times New Roman"/>
                <w:highlight w:val="yellow"/>
              </w:rPr>
            </w:pPr>
            <w:r w:rsidRPr="00BB7295">
              <w:rPr>
                <w:rStyle w:val="None"/>
                <w:rFonts w:cs="Times New Roman" w:hint="eastAsia"/>
                <w:highlight w:val="yellow"/>
                <w:lang w:val="en-US"/>
              </w:rPr>
              <w:t>≥</w:t>
            </w:r>
            <w:r w:rsidRPr="00BB7295">
              <w:rPr>
                <w:rStyle w:val="None"/>
                <w:rFonts w:cs="Times New Roman"/>
                <w:color w:val="1F2329"/>
                <w:highlight w:val="yellow"/>
                <w:u w:color="1F2329"/>
                <w:lang w:val="en-US"/>
              </w:rPr>
              <w:t>1,000,000+</w:t>
            </w:r>
          </w:p>
        </w:tc>
        <w:tc>
          <w:tcPr>
            <w:tcW w:w="1950" w:type="dxa"/>
            <w:tcBorders>
              <w:top w:val="single" w:sz="4" w:space="0" w:color="auto"/>
              <w:left w:val="single" w:sz="6" w:space="0" w:color="CCCCCC"/>
              <w:bottom w:val="single" w:sz="6" w:space="0" w:color="CCCCCC"/>
              <w:right w:val="single" w:sz="6" w:space="0" w:color="000000"/>
            </w:tcBorders>
            <w:tcMar>
              <w:top w:w="80" w:type="dxa"/>
              <w:left w:w="80" w:type="dxa"/>
              <w:bottom w:w="80" w:type="dxa"/>
              <w:right w:w="80" w:type="dxa"/>
            </w:tcMar>
            <w:vAlign w:val="bottom"/>
          </w:tcPr>
          <w:p w14:paraId="01F55482"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1,000</w:t>
            </w:r>
          </w:p>
        </w:tc>
      </w:tr>
      <w:tr w:rsidR="00BF0D95" w:rsidRPr="00AD2F2A" w14:paraId="160E4EF7" w14:textId="77777777" w:rsidTr="00BB7295">
        <w:trPr>
          <w:trHeight w:val="196"/>
        </w:trPr>
        <w:tc>
          <w:tcPr>
            <w:tcW w:w="2847" w:type="dxa"/>
            <w:tcBorders>
              <w:top w:val="single" w:sz="6" w:space="0" w:color="CCCCCC"/>
              <w:left w:val="single" w:sz="6" w:space="0" w:color="000000"/>
              <w:bottom w:val="single" w:sz="6" w:space="0" w:color="000000"/>
              <w:right w:val="single" w:sz="6" w:space="0" w:color="CCCCCC"/>
            </w:tcBorders>
            <w:tcMar>
              <w:top w:w="80" w:type="dxa"/>
              <w:left w:w="80" w:type="dxa"/>
              <w:bottom w:w="80" w:type="dxa"/>
              <w:right w:w="80" w:type="dxa"/>
            </w:tcMar>
            <w:vAlign w:val="bottom"/>
          </w:tcPr>
          <w:p w14:paraId="1049E0D6" w14:textId="77777777" w:rsidR="00BF0D95" w:rsidRPr="00BB7295" w:rsidRDefault="00BF0D95" w:rsidP="002F35E4">
            <w:pPr>
              <w:pStyle w:val="Body"/>
              <w:jc w:val="center"/>
              <w:rPr>
                <w:rFonts w:cs="Times New Roman"/>
                <w:highlight w:val="yellow"/>
              </w:rPr>
            </w:pPr>
            <w:r w:rsidRPr="00BB7295">
              <w:rPr>
                <w:rStyle w:val="None"/>
                <w:rFonts w:cs="Times New Roman"/>
                <w:highlight w:val="yellow"/>
                <w:lang w:val="en-US"/>
              </w:rPr>
              <w:t>For every 1,000,000 thereafter</w:t>
            </w:r>
          </w:p>
        </w:tc>
        <w:tc>
          <w:tcPr>
            <w:tcW w:w="1950" w:type="dxa"/>
            <w:tcBorders>
              <w:top w:val="single" w:sz="6" w:space="0" w:color="CCCCCC"/>
              <w:left w:val="single" w:sz="6" w:space="0" w:color="CCCCCC"/>
              <w:bottom w:val="single" w:sz="6" w:space="0" w:color="000000"/>
              <w:right w:val="single" w:sz="6" w:space="0" w:color="000000"/>
            </w:tcBorders>
            <w:tcMar>
              <w:top w:w="80" w:type="dxa"/>
              <w:left w:w="80" w:type="dxa"/>
              <w:bottom w:w="80" w:type="dxa"/>
              <w:right w:w="80" w:type="dxa"/>
            </w:tcMar>
            <w:vAlign w:val="bottom"/>
          </w:tcPr>
          <w:p w14:paraId="7D433327" w14:textId="77777777" w:rsidR="00BF0D95" w:rsidRPr="00AD2F2A" w:rsidRDefault="00BF0D95" w:rsidP="002F35E4">
            <w:pPr>
              <w:pStyle w:val="Body"/>
              <w:jc w:val="center"/>
              <w:rPr>
                <w:rFonts w:cs="Times New Roman"/>
              </w:rPr>
            </w:pPr>
            <w:r w:rsidRPr="00BB7295">
              <w:rPr>
                <w:rStyle w:val="None"/>
                <w:rFonts w:cs="Times New Roman"/>
                <w:highlight w:val="yellow"/>
                <w:lang w:val="en-US"/>
              </w:rPr>
              <w:t>1,000</w:t>
            </w:r>
          </w:p>
        </w:tc>
      </w:tr>
    </w:tbl>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w:t>
            </w:r>
          </w:p>
          <w:p w14:paraId="2A1F057D" w14:textId="77777777" w:rsidR="00B552ED" w:rsidRDefault="00000000">
            <w:pPr>
              <w:ind w:right="-7"/>
              <w:jc w:val="both"/>
            </w:pPr>
            <w:r>
              <w:t xml:space="preserve">Full Address: </w:t>
            </w:r>
          </w:p>
          <w:p w14:paraId="0322564C" w14:textId="77777777" w:rsidR="00B552ED" w:rsidRDefault="00B552ED">
            <w:pPr>
              <w:ind w:right="-7"/>
              <w:jc w:val="both"/>
            </w:pPr>
          </w:p>
          <w:p w14:paraId="57554978" w14:textId="77777777" w:rsidR="00B552ED" w:rsidRDefault="00000000">
            <w:pPr>
              <w:ind w:right="-7"/>
              <w:jc w:val="both"/>
              <w:rPr>
                <w:b/>
              </w:rPr>
            </w:pPr>
            <w:r>
              <w:t>Email:</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______________________</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