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Yanyan Liang (Channel ID: @yanyanista),</w:t>
      </w:r>
      <w:r>
        <w:rPr>
          <w:highlight w:val="yellow"/>
        </w:rPr>
        <w:t>, an individual (“</w:t>
      </w:r>
      <w:r>
        <w:rPr>
          <w:b/>
          <w:i/>
          <w:highlight w:val="yellow"/>
        </w:rPr>
        <w:t>Talent</w:t>
      </w:r>
      <w:r>
        <w:rPr>
          <w:highlight w:val="yellow"/>
        </w:rPr>
        <w:t>”), UID# 123456</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three (3)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3,000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4,000,000 USDT in Trading Volume, the Talent shall receive a Talent Trading Bonus of 1,000 USDT. For each additional 1,000,000 USDT in Trading Volume achieved thereafter, the Talent shall receive a Talent Trading Bonus of 1,000 USDT, up to a maximum of 7,000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4,000,000+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Yanyan Liang </w:t>
            </w:r>
          </w:p>
          <w:p w14:paraId="2A1F057D" w14:textId="77777777" w:rsidR="00B552ED" w:rsidRDefault="00000000">
            <w:pPr>
              <w:ind w:right="-7"/>
              <w:jc w:val="both"/>
            </w:pPr>
            <w:r>
              <w:t xml:space="preserve">Full Address: 22 Broadway, New York, NY 10019 </w:t>
            </w:r>
          </w:p>
          <w:p w14:paraId="0322564C" w14:textId="77777777" w:rsidR="00B552ED" w:rsidRDefault="00B552ED">
            <w:pPr>
              <w:ind w:right="-7"/>
              <w:jc w:val="both"/>
            </w:pPr>
          </w:p>
          <w:p w14:paraId="57554978" w14:textId="77777777" w:rsidR="00B552ED" w:rsidRDefault="00000000">
            <w:pPr>
              <w:ind w:right="-7"/>
              <w:jc w:val="both"/>
              <w:rPr>
                <w:b/>
              </w:rPr>
            </w:pPr>
            <w:r>
              <w:t>Email: yanyan@okx.com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Yanyan Liang</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